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1E" w:rsidRPr="00824A1E" w:rsidRDefault="00824A1E" w:rsidP="00824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824A1E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Совет депутатов Ортолыкского сельского поселения</w:t>
      </w:r>
    </w:p>
    <w:p w:rsidR="00824A1E" w:rsidRPr="00824A1E" w:rsidRDefault="00824A1E" w:rsidP="00824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824A1E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Кош-</w:t>
      </w:r>
      <w:proofErr w:type="spellStart"/>
      <w:r w:rsidRPr="00824A1E">
        <w:rPr>
          <w:rFonts w:ascii="Times New Roman" w:eastAsia="Times New Roman" w:hAnsi="Times New Roman" w:cs="Arial"/>
          <w:bCs/>
          <w:sz w:val="28"/>
          <w:szCs w:val="28"/>
        </w:rPr>
        <w:t>Агачского</w:t>
      </w:r>
      <w:proofErr w:type="spellEnd"/>
      <w:r w:rsidRPr="00824A1E">
        <w:rPr>
          <w:rFonts w:ascii="Times New Roman" w:eastAsia="Times New Roman" w:hAnsi="Times New Roman" w:cs="Arial"/>
          <w:bCs/>
          <w:sz w:val="28"/>
          <w:szCs w:val="28"/>
        </w:rPr>
        <w:t xml:space="preserve"> района Республики Алтай</w:t>
      </w:r>
    </w:p>
    <w:p w:rsidR="00824A1E" w:rsidRPr="00824A1E" w:rsidRDefault="00824A1E" w:rsidP="0082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04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седьмая</w:t>
      </w:r>
      <w:r w:rsidRPr="0082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четвертого созыва/</w:t>
      </w:r>
    </w:p>
    <w:p w:rsidR="00824A1E" w:rsidRPr="00824A1E" w:rsidRDefault="00824A1E" w:rsidP="00824A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bCs/>
          <w:i/>
          <w:sz w:val="28"/>
          <w:szCs w:val="28"/>
        </w:rPr>
      </w:pPr>
    </w:p>
    <w:p w:rsidR="00824A1E" w:rsidRPr="00824A1E" w:rsidRDefault="00824A1E" w:rsidP="00824A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824A1E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824A1E" w:rsidRDefault="00D04D91" w:rsidP="00A25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13.01.2023</w:t>
      </w:r>
      <w:r w:rsidR="00FC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5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27-3</w:t>
      </w:r>
    </w:p>
    <w:p w:rsidR="00824A1E" w:rsidRDefault="00824A1E" w:rsidP="0082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1E" w:rsidRDefault="00824A1E" w:rsidP="0082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372E" w:rsidRDefault="006361D6" w:rsidP="006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1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дополнений </w:t>
      </w:r>
      <w:r w:rsidRPr="006361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 Решение сельского Совета депутатов МО «Ортолыкское се</w:t>
      </w:r>
      <w:r w:rsidR="00245E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льское</w:t>
      </w:r>
      <w:r w:rsidR="008064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поселение» от  17.10.2017 г № </w:t>
      </w:r>
      <w:r w:rsidR="00245E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27-2</w:t>
      </w:r>
      <w:r w:rsidR="008064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361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63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установлении </w:t>
      </w:r>
      <w:proofErr w:type="gramStart"/>
      <w:r w:rsidRPr="0063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оплаты труда работников органов  местного самоуправления</w:t>
      </w:r>
      <w:proofErr w:type="gramEnd"/>
      <w:r w:rsidRPr="0063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«Ортолыкское сельское поселение» и работников муниципальных учреждений  </w:t>
      </w:r>
    </w:p>
    <w:p w:rsidR="006361D6" w:rsidRPr="006361D6" w:rsidRDefault="006361D6" w:rsidP="006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«Ортолыкское сельское поселение»</w:t>
      </w:r>
    </w:p>
    <w:p w:rsidR="006361D6" w:rsidRPr="006361D6" w:rsidRDefault="006361D6" w:rsidP="00636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5C" w:rsidRPr="00F5265C" w:rsidRDefault="00D04D91" w:rsidP="00F52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индексации заработной платы</w:t>
      </w:r>
      <w:r w:rsidR="00F5265C"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 МО «</w:t>
      </w:r>
      <w:r w:rsidR="00F5265C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Ортолыкское сельское поселение</w:t>
      </w:r>
      <w:r w:rsidR="00F5265C"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оплата труда которых осуществляется на основе новых систем оплаты труда, работников муниципальных  учреждений МО «</w:t>
      </w:r>
      <w:r w:rsidR="00F5265C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Ортолыкское сельское поселение</w:t>
      </w:r>
      <w:r w:rsidR="004C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04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увеличения доли выплат по окладам  (должностным окладам) в структуре  их заработной платы за счет увеличения размеров окладов (должностных окладов) на 4 процента  с 01.01.2023 г, администрация МО «Ортолыкское сельское</w:t>
      </w:r>
      <w:proofErr w:type="gramEnd"/>
      <w:r w:rsidRPr="00D0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2A2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265C"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F5265C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65C" w:rsidRPr="006361D6" w:rsidRDefault="00F5265C" w:rsidP="00F52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сельского Совета депутатов МО «Ортолыкское сельское поселение»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17.10.2017 г  № 27-2</w:t>
      </w:r>
      <w:r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установлении </w:t>
      </w:r>
      <w:proofErr w:type="gramStart"/>
      <w:r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органов  местного самоуправления</w:t>
      </w:r>
      <w:proofErr w:type="gramEnd"/>
      <w:r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«Ортолыкское сельское поселение» и работников муниципальных учреждений   МО «Ортолыкское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D87523" w:rsidRDefault="00D87523" w:rsidP="00D87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65C"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  должностные  оклады в нижеперечисленных  нормативно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актах:  </w:t>
      </w:r>
      <w:r w:rsidR="00F5265C"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Приложении № 1 и в Приложении № 2 « к Условиям </w:t>
      </w:r>
      <w:proofErr w:type="gramStart"/>
      <w:r w:rsidR="00F5265C"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 труда работников органов местно</w:t>
      </w:r>
      <w:r w:rsid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 </w:t>
      </w:r>
      <w:r w:rsidR="00F5265C"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F5265C"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«</w:t>
      </w:r>
      <w:r w:rsidR="00F5265C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Ортолыкское сельское поселение</w:t>
      </w:r>
      <w:r w:rsid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ии:</w:t>
      </w:r>
    </w:p>
    <w:p w:rsidR="004C0626" w:rsidRPr="004C0626" w:rsidRDefault="004C0626" w:rsidP="004C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C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со дня его официального опубликования на сайте МО «Ортолыкское сельское поселения» и распространяется на правоотн</w:t>
      </w:r>
      <w:r w:rsidR="002A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ошения, возникшие с 1  июня 2023</w:t>
      </w:r>
      <w:r w:rsidRPr="004C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C0626" w:rsidRPr="004C0626" w:rsidRDefault="004C0626" w:rsidP="004C06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626" w:rsidRDefault="004C0626" w:rsidP="004C06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626" w:rsidRPr="004C6BAC" w:rsidRDefault="004C0626" w:rsidP="004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Глава     администрации                                                                  </w:t>
      </w:r>
    </w:p>
    <w:p w:rsidR="004C0626" w:rsidRPr="004C6BAC" w:rsidRDefault="004C0626" w:rsidP="004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МО « Ортолыкское сельское </w:t>
      </w:r>
    </w:p>
    <w:p w:rsidR="004C0626" w:rsidRPr="004C6BAC" w:rsidRDefault="004C0626" w:rsidP="004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«Ортолыкское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поселение»            </w:t>
      </w:r>
      <w:r w:rsidRPr="004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</w:p>
    <w:p w:rsidR="004C0626" w:rsidRPr="00A25224" w:rsidRDefault="004C0626" w:rsidP="004C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Э.Н.Яманчинов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</w:t>
      </w:r>
      <w:r w:rsidRPr="004C6B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Э.Н.Яманчинов</w:t>
      </w:r>
      <w:proofErr w:type="spellEnd"/>
    </w:p>
    <w:p w:rsidR="00D87523" w:rsidRDefault="00D87523" w:rsidP="00D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2E" w:rsidRDefault="00F5265C" w:rsidP="006A3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626" w:rsidRDefault="004C0626" w:rsidP="006A3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26" w:rsidRDefault="004C0626" w:rsidP="004C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N 1</w:t>
      </w:r>
    </w:p>
    <w:p w:rsid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 оплаты труда</w:t>
      </w:r>
    </w:p>
    <w:p w:rsid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органов местного</w:t>
      </w:r>
    </w:p>
    <w:p w:rsid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МО Ортолыкское</w:t>
      </w: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AF8" w:rsidRDefault="006A3AF8" w:rsidP="00A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3AF8" w:rsidRPr="00A5153C" w:rsidRDefault="006A3AF8" w:rsidP="00A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3AF8" w:rsidRPr="009A601E" w:rsidRDefault="006A3AF8" w:rsidP="006A3AF8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9A601E">
        <w:rPr>
          <w:rFonts w:ascii="Times New Roman" w:hAnsi="Times New Roman"/>
          <w:b w:val="0"/>
          <w:color w:val="auto"/>
          <w:sz w:val="26"/>
          <w:szCs w:val="26"/>
        </w:rPr>
        <w:t>Размеры окладов (должностных окладов)</w:t>
      </w:r>
    </w:p>
    <w:p w:rsidR="006A3AF8" w:rsidRPr="009A601E" w:rsidRDefault="006A3AF8" w:rsidP="006A3AF8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9A601E">
        <w:rPr>
          <w:rFonts w:ascii="Times New Roman" w:hAnsi="Times New Roman"/>
          <w:b w:val="0"/>
          <w:color w:val="auto"/>
          <w:sz w:val="26"/>
          <w:szCs w:val="26"/>
        </w:rPr>
        <w:t>работников, занимающих дол</w:t>
      </w:r>
      <w:r w:rsidR="00EA4979">
        <w:rPr>
          <w:rFonts w:ascii="Times New Roman" w:hAnsi="Times New Roman"/>
          <w:b w:val="0"/>
          <w:color w:val="auto"/>
          <w:sz w:val="26"/>
          <w:szCs w:val="26"/>
        </w:rPr>
        <w:t>жности служащих, и</w:t>
      </w:r>
      <w:r w:rsidRPr="009A601E">
        <w:rPr>
          <w:rFonts w:ascii="Times New Roman" w:hAnsi="Times New Roman"/>
          <w:b w:val="0"/>
          <w:color w:val="auto"/>
          <w:sz w:val="26"/>
          <w:szCs w:val="26"/>
        </w:rPr>
        <w:t xml:space="preserve">  размеры повышающих коэффициентов к окладам (должностным окладам) по занимаемым должностям</w:t>
      </w:r>
    </w:p>
    <w:p w:rsidR="006A3AF8" w:rsidRPr="009A601E" w:rsidRDefault="006A3AF8" w:rsidP="006A3AF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498"/>
        <w:gridCol w:w="2871"/>
        <w:gridCol w:w="2340"/>
      </w:tblGrid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ПКГ« Общеотраслевые должности  служащих первого  уровня»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Рекомендуемый размер  повышающего коэффициента к окладу (должностному окладу) по занимаемым  должностям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4507</w:t>
            </w:r>
          </w:p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2A2C2F" w:rsidRPr="002A2C2F" w:rsidTr="00C103CD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ПКГ« Общеотраслевые должности  служащих второго  уровня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0,43</w:t>
            </w:r>
          </w:p>
        </w:tc>
      </w:tr>
      <w:tr w:rsidR="002A2C2F" w:rsidRPr="002A2C2F" w:rsidTr="00C103CD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ПКГ« Общеотраслевые должн</w:t>
            </w:r>
            <w:r w:rsidR="00EF337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ости  служащих третьего  уровня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5834</w:t>
            </w:r>
          </w:p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2A2C2F" w:rsidRPr="002A2C2F" w:rsidTr="00C103CD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ПКГ« Общеотраслевые должности  служащих четвертого  уровня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8476</w:t>
            </w:r>
          </w:p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2A2C2F" w:rsidRPr="002A2C2F" w:rsidTr="00C103CD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F" w:rsidRP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F" w:rsidRPr="002A2C2F" w:rsidRDefault="002A2C2F" w:rsidP="00E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</w:tr>
    </w:tbl>
    <w:p w:rsidR="002A2C2F" w:rsidRPr="002A2C2F" w:rsidRDefault="002A2C2F" w:rsidP="002A2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AF8" w:rsidRDefault="006A3AF8" w:rsidP="006A3A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3AF8" w:rsidRDefault="006A3AF8" w:rsidP="006A3A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979" w:rsidRDefault="00EA4979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979" w:rsidRPr="00A5153C" w:rsidRDefault="00EA4979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N 2</w:t>
      </w: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 оплаты труда</w:t>
      </w: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органов местного</w:t>
      </w: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МО Ортолыкское</w:t>
      </w: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53C" w:rsidRPr="00A5153C" w:rsidRDefault="00A5153C" w:rsidP="00A51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53C" w:rsidRPr="00A5153C" w:rsidRDefault="00A5153C" w:rsidP="00A5153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1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Размеры окладов работников,  осуществляющих профессиональную деятельность по профессиям рабочих</w:t>
      </w:r>
    </w:p>
    <w:p w:rsidR="00A5153C" w:rsidRPr="00A5153C" w:rsidRDefault="00A5153C" w:rsidP="00A51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72E" w:rsidRDefault="00BA372E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2E" w:rsidRDefault="00BA372E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4"/>
        <w:gridCol w:w="3884"/>
      </w:tblGrid>
      <w:tr w:rsidR="00F717A3" w:rsidRPr="006A3AF8" w:rsidTr="008A527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3" w:rsidRPr="006A3AF8" w:rsidRDefault="00F717A3" w:rsidP="006A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 с 1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7A3" w:rsidRPr="00F717A3" w:rsidRDefault="002A2C2F" w:rsidP="00376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4507</w:t>
            </w:r>
          </w:p>
        </w:tc>
      </w:tr>
      <w:tr w:rsidR="00F717A3" w:rsidRPr="006A3AF8" w:rsidTr="008A527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3" w:rsidRPr="006A3AF8" w:rsidRDefault="00F717A3" w:rsidP="006A3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 с 2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A3" w:rsidRPr="00F717A3" w:rsidRDefault="002A2C2F" w:rsidP="0037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4528</w:t>
            </w:r>
          </w:p>
        </w:tc>
      </w:tr>
      <w:tr w:rsidR="00F717A3" w:rsidRPr="006A3AF8" w:rsidTr="008A527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3" w:rsidRPr="006A3AF8" w:rsidRDefault="00F717A3" w:rsidP="006A3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 с 3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A3" w:rsidRPr="00F717A3" w:rsidRDefault="002A2C2F" w:rsidP="0037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4603</w:t>
            </w:r>
          </w:p>
        </w:tc>
      </w:tr>
      <w:tr w:rsidR="00F717A3" w:rsidRPr="006A3AF8" w:rsidTr="008A527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3" w:rsidRPr="006A3AF8" w:rsidRDefault="00F717A3" w:rsidP="006A3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 с 4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A3" w:rsidRPr="00F717A3" w:rsidRDefault="002A2C2F" w:rsidP="0037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4831</w:t>
            </w:r>
          </w:p>
        </w:tc>
      </w:tr>
      <w:tr w:rsidR="00F717A3" w:rsidRPr="006A3AF8" w:rsidTr="008A527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3" w:rsidRPr="006A3AF8" w:rsidRDefault="00F717A3" w:rsidP="006A3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 с 5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A3" w:rsidRPr="00F717A3" w:rsidRDefault="002A2C2F" w:rsidP="0037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5067</w:t>
            </w:r>
          </w:p>
        </w:tc>
      </w:tr>
      <w:tr w:rsidR="00F717A3" w:rsidRPr="006A3AF8" w:rsidTr="008A527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3" w:rsidRPr="006A3AF8" w:rsidRDefault="00F717A3" w:rsidP="006A3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 с 6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A3" w:rsidRPr="00F717A3" w:rsidRDefault="002A2C2F" w:rsidP="0037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5315</w:t>
            </w:r>
          </w:p>
        </w:tc>
      </w:tr>
      <w:tr w:rsidR="00F717A3" w:rsidRPr="006A3AF8" w:rsidTr="008A527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3" w:rsidRPr="006A3AF8" w:rsidRDefault="00F717A3" w:rsidP="006A3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 с 7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A3" w:rsidRPr="00F717A3" w:rsidRDefault="002A2C2F" w:rsidP="0037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5579</w:t>
            </w:r>
          </w:p>
        </w:tc>
      </w:tr>
      <w:tr w:rsidR="00F717A3" w:rsidRPr="006A3AF8" w:rsidTr="008A527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3" w:rsidRPr="006A3AF8" w:rsidRDefault="00F717A3" w:rsidP="006A3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 с 8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A3" w:rsidRPr="00F717A3" w:rsidRDefault="002A2C2F" w:rsidP="0037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5853</w:t>
            </w:r>
          </w:p>
        </w:tc>
      </w:tr>
    </w:tbl>
    <w:p w:rsidR="006A3AF8" w:rsidRPr="006A3AF8" w:rsidRDefault="006A3AF8" w:rsidP="006A3AF8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2E" w:rsidRDefault="00BA372E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2E" w:rsidRDefault="00BA372E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2E" w:rsidRDefault="00BA372E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A" w:rsidRDefault="00700EBA" w:rsidP="00A5153C">
      <w:pPr>
        <w:spacing w:after="0" w:line="240" w:lineRule="auto"/>
        <w:ind w:left="5529" w:hanging="34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0EBA" w:rsidSect="008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99F"/>
    <w:rsid w:val="00014140"/>
    <w:rsid w:val="000A1CE8"/>
    <w:rsid w:val="000C64DF"/>
    <w:rsid w:val="000F6C66"/>
    <w:rsid w:val="00196F46"/>
    <w:rsid w:val="001B7770"/>
    <w:rsid w:val="001C462D"/>
    <w:rsid w:val="00245EFF"/>
    <w:rsid w:val="002A2C2F"/>
    <w:rsid w:val="003608FA"/>
    <w:rsid w:val="003F103A"/>
    <w:rsid w:val="003F74B5"/>
    <w:rsid w:val="00447F83"/>
    <w:rsid w:val="004C0626"/>
    <w:rsid w:val="004C6BAC"/>
    <w:rsid w:val="004D6E00"/>
    <w:rsid w:val="005E5AAF"/>
    <w:rsid w:val="00620099"/>
    <w:rsid w:val="006361D6"/>
    <w:rsid w:val="006461F6"/>
    <w:rsid w:val="006A3AF8"/>
    <w:rsid w:val="00700EBA"/>
    <w:rsid w:val="007C7D3E"/>
    <w:rsid w:val="007F726C"/>
    <w:rsid w:val="008064DD"/>
    <w:rsid w:val="00824A1E"/>
    <w:rsid w:val="008A2C98"/>
    <w:rsid w:val="008D1C97"/>
    <w:rsid w:val="008D21EF"/>
    <w:rsid w:val="008F2CF2"/>
    <w:rsid w:val="009927A1"/>
    <w:rsid w:val="009C163C"/>
    <w:rsid w:val="00A25224"/>
    <w:rsid w:val="00A5153C"/>
    <w:rsid w:val="00BA372E"/>
    <w:rsid w:val="00C27843"/>
    <w:rsid w:val="00CC099F"/>
    <w:rsid w:val="00D04D91"/>
    <w:rsid w:val="00D223AB"/>
    <w:rsid w:val="00D87523"/>
    <w:rsid w:val="00E320B5"/>
    <w:rsid w:val="00EA4979"/>
    <w:rsid w:val="00EC0EF0"/>
    <w:rsid w:val="00EF337E"/>
    <w:rsid w:val="00F5265C"/>
    <w:rsid w:val="00F717A3"/>
    <w:rsid w:val="00FC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98"/>
  </w:style>
  <w:style w:type="paragraph" w:styleId="1">
    <w:name w:val="heading 1"/>
    <w:basedOn w:val="a"/>
    <w:next w:val="a"/>
    <w:link w:val="10"/>
    <w:uiPriority w:val="9"/>
    <w:qFormat/>
    <w:rsid w:val="006A3A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FC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4">
    <w:name w:val="List Paragraph"/>
    <w:basedOn w:val="a"/>
    <w:uiPriority w:val="34"/>
    <w:qFormat/>
    <w:rsid w:val="00245E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6A3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3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FC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AE4A-789A-45C8-8EAF-BC4E9ABF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2022-08-03T03:32:00Z</cp:lastPrinted>
  <dcterms:created xsi:type="dcterms:W3CDTF">2021-01-27T02:43:00Z</dcterms:created>
  <dcterms:modified xsi:type="dcterms:W3CDTF">2023-01-18T08:32:00Z</dcterms:modified>
</cp:coreProperties>
</file>